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D627" w14:textId="0C4E7C14" w:rsidR="007B2B93" w:rsidRPr="00D14772" w:rsidRDefault="007B2B93" w:rsidP="00570C7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D14772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Ruszyła pomoc żywnościowa dla osób potrzebujących w ramach Programu Fundusze Europejskie na Pomoc Żywnościową</w:t>
      </w:r>
      <w:r w:rsidR="00D14772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. </w:t>
      </w:r>
      <w:r w:rsidRPr="007B2B93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Podprogram 2025 jest częścią Programu Fundusze Europejskie na Pomoc Żywnościową (FEPŻ), współfinansowanego ze środków EFS+. Dzięki niemu już w </w:t>
      </w:r>
      <w:r w:rsidR="00D14772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lutym 2026 r. </w:t>
      </w:r>
      <w:r w:rsidR="00570C7A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Parafie </w:t>
      </w:r>
      <w:r w:rsidR="00D14772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>Caritas Archidiecezji Warmińskiej</w:t>
      </w:r>
      <w:r w:rsidRPr="007B2B93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rozpoczn</w:t>
      </w:r>
      <w:r w:rsidR="00570C7A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>ą</w:t>
      </w:r>
      <w:r w:rsidRPr="007B2B93">
        <w:rPr>
          <w:rFonts w:ascii="Open Sans" w:eastAsia="Times New Roman" w:hAnsi="Open Sans" w:cs="Open Sans"/>
          <w:b/>
          <w:bCs/>
          <w:color w:val="1B1B1B"/>
          <w:kern w:val="0"/>
          <w:sz w:val="23"/>
          <w:szCs w:val="23"/>
          <w:lang w:eastAsia="pl-PL"/>
          <w14:ligatures w14:val="none"/>
        </w:rPr>
        <w:t xml:space="preserve"> wydawanie paczek żywnościowych osobom potrzebującym, zakwalifikowanym przez Ośrodki Pomocy Społecznej.</w:t>
      </w:r>
    </w:p>
    <w:p w14:paraId="5778A8C8" w14:textId="3F640190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Fonts w:ascii="inherit" w:hAnsi="inherit" w:cs="Open Sans"/>
          <w:color w:val="1B1B1B"/>
          <w:sz w:val="22"/>
          <w:szCs w:val="22"/>
        </w:rPr>
        <w:t xml:space="preserve"> Zakwalifikować się do </w:t>
      </w:r>
      <w:r w:rsidR="00824EC7">
        <w:rPr>
          <w:rFonts w:ascii="inherit" w:hAnsi="inherit" w:cs="Open Sans"/>
          <w:color w:val="1B1B1B"/>
          <w:sz w:val="22"/>
          <w:szCs w:val="22"/>
        </w:rPr>
        <w:t>Programu</w:t>
      </w:r>
      <w:r>
        <w:rPr>
          <w:rFonts w:ascii="inherit" w:hAnsi="inherit" w:cs="Open Sans"/>
          <w:color w:val="1B1B1B"/>
          <w:sz w:val="22"/>
          <w:szCs w:val="22"/>
        </w:rPr>
        <w:t xml:space="preserve"> mogą osoby w trudnej sytuacji życiowej, których miesięczny dochód netto wynosi 2 676,50 zł dla osoby samotnie gospodarującej oraz</w:t>
      </w:r>
      <w:r w:rsidR="00570C7A">
        <w:rPr>
          <w:rFonts w:ascii="inherit" w:hAnsi="inherit" w:cs="Open Sans"/>
          <w:color w:val="1B1B1B"/>
          <w:sz w:val="22"/>
          <w:szCs w:val="22"/>
        </w:rPr>
        <w:t xml:space="preserve"> </w:t>
      </w:r>
      <w:r>
        <w:rPr>
          <w:rFonts w:ascii="inherit" w:hAnsi="inherit" w:cs="Open Sans"/>
          <w:color w:val="1B1B1B"/>
          <w:sz w:val="22"/>
          <w:szCs w:val="22"/>
        </w:rPr>
        <w:t>2 180,95 zł w przypadku osoby w rodzinie.</w:t>
      </w:r>
    </w:p>
    <w:p w14:paraId="4AEFF3F8" w14:textId="1B99A673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Fonts w:ascii="inherit" w:hAnsi="inherit" w:cs="Open Sans"/>
          <w:color w:val="1B1B1B"/>
          <w:sz w:val="22"/>
          <w:szCs w:val="22"/>
        </w:rPr>
        <w:t>Do odbiorców końcowych trafi </w:t>
      </w:r>
      <w:r w:rsidR="001F0C56"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1</w:t>
      </w:r>
      <w:r w:rsidR="00F67205"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46 190,00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 xml:space="preserve"> </w:t>
      </w:r>
      <w:r w:rsidR="001F0C56"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kg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 xml:space="preserve"> żywności</w:t>
      </w:r>
      <w:r>
        <w:rPr>
          <w:rFonts w:ascii="inherit" w:hAnsi="inherit" w:cs="Open Sans"/>
          <w:color w:val="1B1B1B"/>
          <w:sz w:val="22"/>
          <w:szCs w:val="22"/>
        </w:rPr>
        <w:t xml:space="preserve"> o łącznej </w:t>
      </w:r>
      <w:r w:rsidRPr="001810E3">
        <w:rPr>
          <w:rFonts w:ascii="inherit" w:hAnsi="inherit" w:cs="Open Sans"/>
          <w:b/>
          <w:bCs/>
          <w:color w:val="1B1B1B"/>
          <w:sz w:val="22"/>
          <w:szCs w:val="22"/>
        </w:rPr>
        <w:t>wartości</w:t>
      </w:r>
      <w:r w:rsidR="001810E3" w:rsidRPr="001810E3">
        <w:rPr>
          <w:rFonts w:ascii="inherit" w:hAnsi="inherit" w:cs="Open Sans"/>
          <w:b/>
          <w:bCs/>
          <w:color w:val="1B1B1B"/>
          <w:sz w:val="22"/>
          <w:szCs w:val="22"/>
        </w:rPr>
        <w:t xml:space="preserve"> </w:t>
      </w:r>
      <w:r w:rsidR="00933321" w:rsidRPr="001810E3">
        <w:rPr>
          <w:rFonts w:ascii="inherit" w:hAnsi="inherit" w:cs="Open Sans"/>
          <w:b/>
          <w:bCs/>
          <w:color w:val="1B1B1B"/>
          <w:sz w:val="22"/>
          <w:szCs w:val="22"/>
        </w:rPr>
        <w:t>ok.</w:t>
      </w:r>
      <w:r w:rsidR="001810E3" w:rsidRPr="001810E3">
        <w:rPr>
          <w:rFonts w:ascii="inherit" w:hAnsi="inherit" w:cs="Open Sans"/>
          <w:b/>
          <w:bCs/>
          <w:color w:val="1B1B1B"/>
          <w:sz w:val="22"/>
          <w:szCs w:val="22"/>
        </w:rPr>
        <w:t xml:space="preserve"> </w:t>
      </w:r>
      <w:r w:rsidR="00933321" w:rsidRPr="001810E3">
        <w:rPr>
          <w:rFonts w:ascii="inherit" w:hAnsi="inherit" w:cs="Open Sans"/>
          <w:b/>
          <w:bCs/>
          <w:color w:val="1B1B1B"/>
          <w:sz w:val="22"/>
          <w:szCs w:val="22"/>
        </w:rPr>
        <w:t>950 tys. zł</w:t>
      </w:r>
      <w:r>
        <w:rPr>
          <w:rFonts w:ascii="inherit" w:hAnsi="inherit" w:cs="Open Sans"/>
          <w:color w:val="1B1B1B"/>
          <w:sz w:val="22"/>
          <w:szCs w:val="22"/>
        </w:rPr>
        <w:t xml:space="preserve"> . </w:t>
      </w:r>
    </w:p>
    <w:p w14:paraId="726F5FD6" w14:textId="78707DB6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Fonts w:ascii="inherit" w:hAnsi="inherit" w:cs="Open Sans"/>
          <w:color w:val="1B1B1B"/>
          <w:sz w:val="22"/>
          <w:szCs w:val="22"/>
        </w:rPr>
        <w:t>Pomoc żywnościowa obejmuje 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szeroki i zbilansowany zestaw artykułów spożywczych</w:t>
      </w:r>
      <w:r>
        <w:rPr>
          <w:rFonts w:ascii="inherit" w:hAnsi="inherit" w:cs="Open Sans"/>
          <w:color w:val="1B1B1B"/>
          <w:sz w:val="22"/>
          <w:szCs w:val="22"/>
        </w:rPr>
        <w:t>, które umożliwiają przygotowanie pełnowartościowych posiłków w gospodarstwach domowych. Uzupełnieniem wsparcia będą 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działania towarzyszące</w:t>
      </w:r>
      <w:r>
        <w:rPr>
          <w:rFonts w:ascii="inherit" w:hAnsi="inherit" w:cs="Open Sans"/>
          <w:color w:val="1B1B1B"/>
          <w:sz w:val="22"/>
          <w:szCs w:val="22"/>
        </w:rPr>
        <w:t>, w tym warsztaty edukacyjne, wsparcie dietetyczne oraz działania integracyjne. Zaplanowano realizację </w:t>
      </w:r>
      <w:r w:rsidR="00B96F1E"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14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 xml:space="preserve"> działań towarzyszących</w:t>
      </w:r>
      <w:r>
        <w:rPr>
          <w:rFonts w:ascii="inherit" w:hAnsi="inherit" w:cs="Open Sans"/>
          <w:color w:val="1B1B1B"/>
          <w:sz w:val="22"/>
          <w:szCs w:val="22"/>
        </w:rPr>
        <w:t>, z których skorzysta około </w:t>
      </w:r>
      <w:r w:rsidR="00B96F1E"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 xml:space="preserve">320 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osób</w:t>
      </w:r>
      <w:r>
        <w:rPr>
          <w:rFonts w:ascii="inherit" w:hAnsi="inherit" w:cs="Open Sans"/>
          <w:color w:val="1B1B1B"/>
          <w:sz w:val="22"/>
          <w:szCs w:val="22"/>
        </w:rPr>
        <w:t>.</w:t>
      </w:r>
      <w:r w:rsidR="00824EC7">
        <w:rPr>
          <w:rFonts w:ascii="inherit" w:hAnsi="inherit" w:cs="Open Sans"/>
          <w:color w:val="1B1B1B"/>
          <w:sz w:val="22"/>
          <w:szCs w:val="22"/>
        </w:rPr>
        <w:t xml:space="preserve"> </w:t>
      </w:r>
    </w:p>
    <w:p w14:paraId="35BC806A" w14:textId="24B077C1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Podprogram 2025</w:t>
      </w:r>
      <w:r>
        <w:rPr>
          <w:rFonts w:ascii="inherit" w:hAnsi="inherit" w:cs="Open Sans"/>
          <w:color w:val="1B1B1B"/>
          <w:sz w:val="22"/>
          <w:szCs w:val="22"/>
        </w:rPr>
        <w:t> został zaplanowany 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do końca września 2026 roku</w:t>
      </w:r>
      <w:r>
        <w:rPr>
          <w:rFonts w:ascii="inherit" w:hAnsi="inherit" w:cs="Open Sans"/>
          <w:color w:val="1B1B1B"/>
          <w:sz w:val="22"/>
          <w:szCs w:val="22"/>
        </w:rPr>
        <w:t xml:space="preserve">. Wsparcie trafi do </w:t>
      </w:r>
      <w:r w:rsidR="0015154D">
        <w:rPr>
          <w:rFonts w:ascii="inherit" w:hAnsi="inherit" w:cs="Open Sans"/>
          <w:color w:val="1B1B1B"/>
          <w:sz w:val="22"/>
          <w:szCs w:val="22"/>
        </w:rPr>
        <w:t>przeszło</w:t>
      </w:r>
      <w:r>
        <w:rPr>
          <w:rFonts w:ascii="inherit" w:hAnsi="inherit" w:cs="Open Sans"/>
          <w:color w:val="1B1B1B"/>
          <w:sz w:val="22"/>
          <w:szCs w:val="22"/>
        </w:rPr>
        <w:t xml:space="preserve"> </w:t>
      </w:r>
      <w:r w:rsidR="00B96F1E" w:rsidRPr="00B96F1E">
        <w:rPr>
          <w:rFonts w:ascii="inherit" w:hAnsi="inherit" w:cs="Open Sans"/>
          <w:b/>
          <w:bCs/>
          <w:color w:val="1B1B1B"/>
          <w:sz w:val="22"/>
          <w:szCs w:val="22"/>
        </w:rPr>
        <w:t xml:space="preserve">3000 </w:t>
      </w:r>
      <w:r w:rsidRPr="00B96F1E">
        <w:rPr>
          <w:rFonts w:ascii="inherit" w:hAnsi="inherit" w:cs="Open Sans"/>
          <w:b/>
          <w:bCs/>
          <w:color w:val="1B1B1B"/>
          <w:sz w:val="22"/>
          <w:szCs w:val="22"/>
        </w:rPr>
        <w:t xml:space="preserve"> osób</w:t>
      </w:r>
      <w:r>
        <w:rPr>
          <w:rFonts w:ascii="inherit" w:hAnsi="inherit" w:cs="Open Sans"/>
          <w:color w:val="1B1B1B"/>
          <w:sz w:val="22"/>
          <w:szCs w:val="22"/>
        </w:rPr>
        <w:t xml:space="preserve"> znajdujących się w trudnej sytuacji życiowej na terenie </w:t>
      </w:r>
      <w:r w:rsidR="00B96F1E">
        <w:rPr>
          <w:rFonts w:ascii="inherit" w:hAnsi="inherit" w:cs="Open Sans"/>
          <w:color w:val="1B1B1B"/>
          <w:sz w:val="22"/>
          <w:szCs w:val="22"/>
        </w:rPr>
        <w:t>Archidiecezji Warmi</w:t>
      </w:r>
      <w:r w:rsidR="00B000EB">
        <w:rPr>
          <w:rFonts w:ascii="inherit" w:hAnsi="inherit" w:cs="Open Sans"/>
          <w:color w:val="1B1B1B"/>
          <w:sz w:val="22"/>
          <w:szCs w:val="22"/>
        </w:rPr>
        <w:t>ń</w:t>
      </w:r>
      <w:r w:rsidR="00B96F1E">
        <w:rPr>
          <w:rFonts w:ascii="inherit" w:hAnsi="inherit" w:cs="Open Sans"/>
          <w:color w:val="1B1B1B"/>
          <w:sz w:val="22"/>
          <w:szCs w:val="22"/>
        </w:rPr>
        <w:t>skiej.</w:t>
      </w:r>
    </w:p>
    <w:p w14:paraId="1B973D19" w14:textId="77777777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Podprogram 2025</w:t>
      </w:r>
      <w:r>
        <w:rPr>
          <w:rFonts w:ascii="inherit" w:hAnsi="inherit" w:cs="Open Sans"/>
          <w:color w:val="1B1B1B"/>
          <w:sz w:val="22"/>
          <w:szCs w:val="22"/>
        </w:rPr>
        <w:t> stanowi kluczowy element realizacji celów Programu FEPŻ, które przyczyniają się 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do ograniczania ubóstwa i wykluczenia społecznego</w:t>
      </w:r>
      <w:r>
        <w:rPr>
          <w:rFonts w:ascii="inherit" w:hAnsi="inherit" w:cs="Open Sans"/>
          <w:color w:val="1B1B1B"/>
          <w:sz w:val="22"/>
          <w:szCs w:val="22"/>
        </w:rPr>
        <w:t> poprzez </w:t>
      </w:r>
      <w:r>
        <w:rPr>
          <w:rStyle w:val="Pogrubienie"/>
          <w:rFonts w:ascii="inherit" w:eastAsiaTheme="majorEastAsia" w:hAnsi="inherit" w:cs="Open Sans"/>
          <w:color w:val="1B1B1B"/>
          <w:sz w:val="22"/>
          <w:szCs w:val="22"/>
        </w:rPr>
        <w:t>kompleksowe wsparcie żywnościowe i edukacyjne</w:t>
      </w:r>
      <w:r>
        <w:rPr>
          <w:rFonts w:ascii="inherit" w:hAnsi="inherit" w:cs="Open Sans"/>
          <w:color w:val="1B1B1B"/>
          <w:sz w:val="22"/>
          <w:szCs w:val="22"/>
        </w:rPr>
        <w:t>.</w:t>
      </w:r>
    </w:p>
    <w:p w14:paraId="140FB2B7" w14:textId="77777777" w:rsidR="001F3A2D" w:rsidRDefault="001F3A2D" w:rsidP="00570C7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Fonts w:ascii="inherit" w:hAnsi="inherit" w:cs="Open Sans"/>
          <w:color w:val="1B1B1B"/>
          <w:sz w:val="22"/>
          <w:szCs w:val="22"/>
        </w:rPr>
        <w:t>Link do Wytycznych PP 2025: </w:t>
      </w:r>
      <w:hyperlink r:id="rId4" w:history="1">
        <w:r>
          <w:rPr>
            <w:rStyle w:val="Hipercze"/>
            <w:rFonts w:ascii="inherit" w:eastAsiaTheme="majorEastAsia" w:hAnsi="inherit" w:cs="Open Sans"/>
            <w:color w:val="0563C1"/>
            <w:sz w:val="22"/>
            <w:szCs w:val="22"/>
          </w:rPr>
          <w:t>https://www.gov.pl/web/rodzina/podprogram-2025</w:t>
        </w:r>
      </w:hyperlink>
    </w:p>
    <w:p w14:paraId="0FFAA759" w14:textId="77777777" w:rsidR="00A74C79" w:rsidRDefault="00A74C79" w:rsidP="00570C7A">
      <w:pPr>
        <w:jc w:val="both"/>
      </w:pPr>
    </w:p>
    <w:sectPr w:rsidR="00A7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3"/>
    <w:rsid w:val="0015154D"/>
    <w:rsid w:val="001810E3"/>
    <w:rsid w:val="001F0C56"/>
    <w:rsid w:val="001F3A2D"/>
    <w:rsid w:val="002352AD"/>
    <w:rsid w:val="00570C7A"/>
    <w:rsid w:val="006343F6"/>
    <w:rsid w:val="006C4763"/>
    <w:rsid w:val="00705191"/>
    <w:rsid w:val="007B2B93"/>
    <w:rsid w:val="00821574"/>
    <w:rsid w:val="00824EC7"/>
    <w:rsid w:val="008D3C76"/>
    <w:rsid w:val="00933321"/>
    <w:rsid w:val="00A74C79"/>
    <w:rsid w:val="00B000EB"/>
    <w:rsid w:val="00B96F1E"/>
    <w:rsid w:val="00C81AF8"/>
    <w:rsid w:val="00D14772"/>
    <w:rsid w:val="00E10F9A"/>
    <w:rsid w:val="00F67205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2420"/>
  <w15:chartTrackingRefBased/>
  <w15:docId w15:val="{3431958F-0609-4FCA-99A9-9497C5F0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B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B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B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B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B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B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F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F3A2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3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dzina/podprogram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ARCHIDIECEZJI WARMIŃSKIEJ</dc:creator>
  <cp:keywords/>
  <dc:description/>
  <cp:lastModifiedBy>CARITAS ARCHIDIECEZJI WARMIŃSKIEJ</cp:lastModifiedBy>
  <cp:revision>10</cp:revision>
  <dcterms:created xsi:type="dcterms:W3CDTF">2026-02-18T12:25:00Z</dcterms:created>
  <dcterms:modified xsi:type="dcterms:W3CDTF">2026-02-19T10:17:00Z</dcterms:modified>
</cp:coreProperties>
</file>